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E423" w14:textId="77777777" w:rsidR="0008348D" w:rsidRPr="0060366A" w:rsidRDefault="0008348D" w:rsidP="0008348D">
      <w:pPr>
        <w:spacing w:after="200" w:line="276" w:lineRule="auto"/>
        <w:jc w:val="center"/>
        <w:rPr>
          <w:rFonts w:eastAsia="Calibri"/>
          <w:b/>
          <w:smallCaps/>
          <w:sz w:val="20"/>
          <w:szCs w:val="20"/>
          <w:lang w:eastAsia="en-US"/>
        </w:rPr>
      </w:pPr>
      <w:r w:rsidRPr="0060366A">
        <w:rPr>
          <w:rFonts w:eastAsia="Calibri"/>
          <w:b/>
          <w:smallCaps/>
          <w:sz w:val="20"/>
          <w:szCs w:val="20"/>
          <w:lang w:eastAsia="en-US"/>
        </w:rPr>
        <w:t>Felhívás társadalmi egyeztetésre</w:t>
      </w:r>
    </w:p>
    <w:p w14:paraId="47F17CAF" w14:textId="77777777" w:rsidR="00033223" w:rsidRPr="00033223" w:rsidRDefault="00033223" w:rsidP="00033223">
      <w:pPr>
        <w:spacing w:after="120"/>
        <w:jc w:val="both"/>
        <w:rPr>
          <w:color w:val="000000" w:themeColor="text1"/>
          <w:sz w:val="20"/>
          <w:szCs w:val="20"/>
        </w:rPr>
      </w:pPr>
      <w:r w:rsidRPr="00033223">
        <w:rPr>
          <w:i/>
          <w:iCs/>
          <w:color w:val="000000" w:themeColor="text1"/>
          <w:sz w:val="20"/>
          <w:szCs w:val="20"/>
        </w:rPr>
        <w:t>Magyarország Alaptörvényének</w:t>
      </w:r>
      <w:r w:rsidRPr="00033223">
        <w:rPr>
          <w:color w:val="000000" w:themeColor="text1"/>
          <w:sz w:val="20"/>
          <w:szCs w:val="20"/>
        </w:rPr>
        <w:t xml:space="preserve"> 32. cikk (2) bekezdés második fordulata alapján az önkormányzatok eredeti jogalkotói hatáskörben – önkormányzati rendelet formájában – jogosultak az együttélés szabályait – ha azt más jogszabály nem szabályozza – helyi szinten szabályozni, a helyi sajátosságok figyelembevételével. </w:t>
      </w:r>
    </w:p>
    <w:p w14:paraId="164930B9" w14:textId="77777777" w:rsidR="00033223" w:rsidRPr="00033223" w:rsidRDefault="00033223" w:rsidP="00033223">
      <w:pPr>
        <w:spacing w:after="120"/>
        <w:jc w:val="both"/>
        <w:rPr>
          <w:sz w:val="20"/>
          <w:szCs w:val="20"/>
        </w:rPr>
      </w:pPr>
      <w:r w:rsidRPr="00033223">
        <w:rPr>
          <w:i/>
          <w:iCs/>
          <w:color w:val="000000" w:themeColor="text1"/>
          <w:sz w:val="20"/>
          <w:szCs w:val="20"/>
        </w:rPr>
        <w:t xml:space="preserve">Magyarország helyi önkormányzatairól szóló </w:t>
      </w:r>
      <w:r w:rsidRPr="00033223">
        <w:rPr>
          <w:i/>
          <w:iCs/>
          <w:sz w:val="20"/>
          <w:szCs w:val="20"/>
        </w:rPr>
        <w:t>2011. évi CLXXXIX. törvény</w:t>
      </w:r>
      <w:r w:rsidRPr="00033223">
        <w:rPr>
          <w:sz w:val="20"/>
          <w:szCs w:val="20"/>
        </w:rPr>
        <w:t xml:space="preserve"> (továbbiakban: </w:t>
      </w:r>
      <w:proofErr w:type="spellStart"/>
      <w:r w:rsidRPr="00033223">
        <w:rPr>
          <w:sz w:val="20"/>
          <w:szCs w:val="20"/>
        </w:rPr>
        <w:t>Mötv</w:t>
      </w:r>
      <w:proofErr w:type="spellEnd"/>
      <w:r w:rsidRPr="00033223">
        <w:rPr>
          <w:sz w:val="20"/>
          <w:szCs w:val="20"/>
        </w:rPr>
        <w:t xml:space="preserve">.) 8.§-a szerint a helyi közösség tagjai a helyi önkormányzás alanyaként kötelesek betartani és betartatni a közösségi együttélés alapvető szabályait. A helyi önkormányzat képviselő-testülete rendeletében meghatározhatja a kötelezettségek tartalmát, elmulasztásuk jogkövetkezményeit. A 143.§ (4) d) pontja az erre vonatkozó felhatalmazást biztosítja. </w:t>
      </w:r>
    </w:p>
    <w:p w14:paraId="10DEF94F" w14:textId="77777777" w:rsidR="00033223" w:rsidRPr="00033223" w:rsidRDefault="00033223" w:rsidP="00033223">
      <w:pPr>
        <w:spacing w:after="120"/>
        <w:jc w:val="both"/>
        <w:rPr>
          <w:color w:val="000000" w:themeColor="text1"/>
          <w:sz w:val="20"/>
          <w:szCs w:val="20"/>
        </w:rPr>
      </w:pPr>
      <w:r w:rsidRPr="00033223">
        <w:rPr>
          <w:color w:val="000000" w:themeColor="text1"/>
          <w:sz w:val="20"/>
          <w:szCs w:val="20"/>
        </w:rPr>
        <w:t xml:space="preserve">A </w:t>
      </w:r>
      <w:r w:rsidRPr="00033223">
        <w:rPr>
          <w:i/>
          <w:iCs/>
          <w:color w:val="000000" w:themeColor="text1"/>
          <w:sz w:val="20"/>
          <w:szCs w:val="20"/>
        </w:rPr>
        <w:t>közösségi együttélés alapvető szabályairól és ezek elmulasztásának jogkövetkezményeiről szóló 18/2013.(XI.5.) számú önkormányzati rendelet</w:t>
      </w:r>
      <w:r w:rsidRPr="00033223">
        <w:rPr>
          <w:color w:val="000000" w:themeColor="text1"/>
          <w:sz w:val="20"/>
          <w:szCs w:val="20"/>
        </w:rPr>
        <w:t xml:space="preserve"> (továbbiakban: Rendelet) 2018. évben történt elfogadása óta hat alkalommal került módosításra. Hetedik módosítással került volna beemelésre - lakossági igényre és képviselői kezdeményezésre - a zajjal járó kerti-, barkács- és építkezési munkálatok időkorlátja. </w:t>
      </w:r>
    </w:p>
    <w:p w14:paraId="550F05D8" w14:textId="77777777" w:rsidR="00033223" w:rsidRPr="00033223" w:rsidRDefault="00033223" w:rsidP="00033223">
      <w:pPr>
        <w:autoSpaceDE w:val="0"/>
        <w:autoSpaceDN w:val="0"/>
        <w:adjustRightInd w:val="0"/>
        <w:spacing w:after="120"/>
        <w:jc w:val="both"/>
        <w:rPr>
          <w:rFonts w:eastAsiaTheme="minorHAnsi"/>
          <w:sz w:val="20"/>
          <w:szCs w:val="20"/>
          <w:lang w:eastAsia="en-US"/>
        </w:rPr>
      </w:pPr>
      <w:r w:rsidRPr="00033223">
        <w:rPr>
          <w:color w:val="000000" w:themeColor="text1"/>
          <w:sz w:val="20"/>
          <w:szCs w:val="20"/>
        </w:rPr>
        <w:t>A Rendelet módosításának előkészítése közben felmerült, mint hiányzó szabályozás, a közösségi terek használatára vonatkozó egyes előírások közösségellenes magatartássá nyilvánítása, továbbá a Rendelet több olyan rendelkezést is tartalmaz, melyet magasabb rendű jogszabály már szabályozási körbe vont, ezért a Rendeletet a</w:t>
      </w:r>
      <w:r w:rsidRPr="00033223">
        <w:rPr>
          <w:rFonts w:eastAsiaTheme="minorHAnsi"/>
          <w:i/>
          <w:iCs/>
          <w:sz w:val="20"/>
          <w:szCs w:val="20"/>
          <w:lang w:eastAsia="en-US"/>
        </w:rPr>
        <w:t xml:space="preserve"> jogalkotásról szóló </w:t>
      </w:r>
      <w:bookmarkStart w:id="0" w:name="_Hlk150760533"/>
      <w:r w:rsidRPr="00033223">
        <w:rPr>
          <w:rFonts w:eastAsiaTheme="minorHAnsi"/>
          <w:i/>
          <w:iCs/>
          <w:sz w:val="20"/>
          <w:szCs w:val="20"/>
          <w:lang w:eastAsia="en-US"/>
        </w:rPr>
        <w:t>2010. évi CXXX. törvénynek</w:t>
      </w:r>
      <w:r w:rsidRPr="00033223">
        <w:rPr>
          <w:rFonts w:eastAsiaTheme="minorHAnsi"/>
          <w:sz w:val="20"/>
          <w:szCs w:val="20"/>
          <w:lang w:eastAsia="en-US"/>
        </w:rPr>
        <w:t xml:space="preserve"> </w:t>
      </w:r>
      <w:bookmarkEnd w:id="0"/>
      <w:r w:rsidRPr="00033223">
        <w:rPr>
          <w:rFonts w:eastAsiaTheme="minorHAnsi"/>
          <w:sz w:val="20"/>
          <w:szCs w:val="20"/>
          <w:lang w:eastAsia="en-US"/>
        </w:rPr>
        <w:t xml:space="preserve">(a továbbiakban: </w:t>
      </w:r>
      <w:proofErr w:type="spellStart"/>
      <w:r w:rsidRPr="00033223">
        <w:rPr>
          <w:rFonts w:eastAsiaTheme="minorHAnsi"/>
          <w:sz w:val="20"/>
          <w:szCs w:val="20"/>
          <w:lang w:eastAsia="en-US"/>
        </w:rPr>
        <w:t>Jat</w:t>
      </w:r>
      <w:proofErr w:type="spellEnd"/>
      <w:r w:rsidRPr="00033223">
        <w:rPr>
          <w:rFonts w:eastAsiaTheme="minorHAnsi"/>
          <w:sz w:val="20"/>
          <w:szCs w:val="20"/>
          <w:lang w:eastAsia="en-US"/>
        </w:rPr>
        <w:t xml:space="preserve">.) való megfeleltetése okán is szükséges módosítani. </w:t>
      </w:r>
    </w:p>
    <w:p w14:paraId="3C600783" w14:textId="77777777" w:rsidR="00033223" w:rsidRPr="00033223" w:rsidRDefault="00033223" w:rsidP="00033223">
      <w:pPr>
        <w:autoSpaceDE w:val="0"/>
        <w:autoSpaceDN w:val="0"/>
        <w:adjustRightInd w:val="0"/>
        <w:spacing w:after="120"/>
        <w:jc w:val="both"/>
        <w:rPr>
          <w:rFonts w:eastAsiaTheme="minorHAnsi"/>
          <w:sz w:val="20"/>
          <w:szCs w:val="20"/>
          <w:lang w:eastAsia="en-US"/>
        </w:rPr>
      </w:pPr>
      <w:r w:rsidRPr="00033223">
        <w:rPr>
          <w:rFonts w:eastAsiaTheme="minorHAnsi"/>
          <w:sz w:val="20"/>
          <w:szCs w:val="20"/>
          <w:lang w:eastAsia="en-US"/>
        </w:rPr>
        <w:t xml:space="preserve">A </w:t>
      </w:r>
      <w:proofErr w:type="spellStart"/>
      <w:r w:rsidRPr="00033223">
        <w:rPr>
          <w:rFonts w:eastAsiaTheme="minorHAnsi"/>
          <w:sz w:val="20"/>
          <w:szCs w:val="20"/>
          <w:lang w:eastAsia="en-US"/>
        </w:rPr>
        <w:t>Jat</w:t>
      </w:r>
      <w:proofErr w:type="spellEnd"/>
      <w:r w:rsidRPr="00033223">
        <w:rPr>
          <w:rFonts w:eastAsiaTheme="minorHAnsi"/>
          <w:sz w:val="20"/>
          <w:szCs w:val="20"/>
          <w:lang w:eastAsia="en-US"/>
        </w:rPr>
        <w:t>., valamint a Kúria e tárgy meghozott több határozata is rámutat arra, hogy azonos tényállás és felelősségi alakzat esetén a többes szankcionálás sérti a jogbiztonság elvét és Alaptörvénybe ütközik, azaz csak azokra az esetekre indokolt önkormányzati rendelet megalkotása, melyekre vonatkozóan nincs magasabb szintű jogszabály, amely szabályozná a helyi közösség által sérelmezett normaszegést.</w:t>
      </w:r>
    </w:p>
    <w:p w14:paraId="4B0CF079" w14:textId="77777777" w:rsidR="00033223" w:rsidRPr="00033223" w:rsidRDefault="00033223" w:rsidP="00033223">
      <w:pPr>
        <w:autoSpaceDE w:val="0"/>
        <w:autoSpaceDN w:val="0"/>
        <w:adjustRightInd w:val="0"/>
        <w:spacing w:after="120"/>
        <w:jc w:val="both"/>
        <w:rPr>
          <w:rFonts w:eastAsiaTheme="minorHAnsi"/>
          <w:sz w:val="20"/>
          <w:szCs w:val="20"/>
          <w:lang w:eastAsia="en-US"/>
        </w:rPr>
      </w:pPr>
      <w:r w:rsidRPr="00033223">
        <w:rPr>
          <w:rFonts w:eastAsiaTheme="minorHAnsi"/>
          <w:sz w:val="20"/>
          <w:szCs w:val="20"/>
          <w:lang w:eastAsia="en-US"/>
        </w:rPr>
        <w:t xml:space="preserve">A </w:t>
      </w:r>
      <w:proofErr w:type="spellStart"/>
      <w:r w:rsidRPr="00033223">
        <w:rPr>
          <w:rFonts w:eastAsiaTheme="minorHAnsi"/>
          <w:sz w:val="20"/>
          <w:szCs w:val="20"/>
          <w:lang w:eastAsia="en-US"/>
        </w:rPr>
        <w:t>Jat</w:t>
      </w:r>
      <w:proofErr w:type="spellEnd"/>
      <w:r w:rsidRPr="00033223">
        <w:rPr>
          <w:rFonts w:eastAsiaTheme="minorHAnsi"/>
          <w:sz w:val="20"/>
          <w:szCs w:val="20"/>
          <w:lang w:eastAsia="en-US"/>
        </w:rPr>
        <w:t>. 3. §-a kimondja, hogy a jogalkotás során a szabályozás nem lehet indokolatlanul párhuzamos vagy többszintű, így, ha az adott magatartás bűncselekményt vagy szabálysértést valósít meg, vagy magasabb szintű jogszabály közigazgatási vagy egyéb bírság kiszabását rendeli el, akkor nem szankcionálható párhuzamosan a közösségi együttélés alapvető szabályainak megszegése miatt is.</w:t>
      </w:r>
    </w:p>
    <w:p w14:paraId="4A724186" w14:textId="77777777" w:rsidR="00033223" w:rsidRPr="00033223" w:rsidRDefault="00033223" w:rsidP="00033223">
      <w:pPr>
        <w:autoSpaceDE w:val="0"/>
        <w:autoSpaceDN w:val="0"/>
        <w:adjustRightInd w:val="0"/>
        <w:jc w:val="both"/>
        <w:rPr>
          <w:rFonts w:eastAsiaTheme="minorHAnsi"/>
          <w:sz w:val="20"/>
          <w:szCs w:val="20"/>
          <w:lang w:eastAsia="en-US"/>
        </w:rPr>
      </w:pPr>
      <w:r w:rsidRPr="00033223">
        <w:rPr>
          <w:rFonts w:eastAsiaTheme="minorHAnsi"/>
          <w:sz w:val="20"/>
          <w:szCs w:val="20"/>
          <w:lang w:eastAsia="en-US"/>
        </w:rPr>
        <w:t xml:space="preserve">Gyakori magatartások, melyek a közösségi együttélés alapvető szabályairól szóló önkormányzati rendeletben nem szabályozhatóak a jogbiztonság elve miatt: </w:t>
      </w:r>
    </w:p>
    <w:p w14:paraId="1C489D47"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az együttélés alapvető követelményeivel ellentétes, botrányos, tűrhetetlen vagy jó ízlést sértő magatartás, a közerkölcs megsértése, garázdaság szabálysértése tényállását fedi le, súlyosabb esetben bűncselekményt valósít meg;</w:t>
      </w:r>
    </w:p>
    <w:p w14:paraId="28C68057"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 xml:space="preserve">károkozás, rongálás magatartások vonatkozásában – az okozott kár összegéhez igazodóan – tulajdon elleni szabálysértési vagy büntető eljárás lefolytatásának van helye; </w:t>
      </w:r>
    </w:p>
    <w:p w14:paraId="62365163"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életvitelszerű közterületi tartózkodás esetében szabálysértési eljárásnak van helye, figyelmeztetés kiszabása megelőzőleg kötelező;</w:t>
      </w:r>
    </w:p>
    <w:p w14:paraId="58DD1D41"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állattartással kapcsolatos magatartások: nem jó gazda módjára történő állattartás, az állattartás szabályainak megszegése, kiszökés megakadályozásának elmulasztása, közterületen póráz nélküli kutyasétáltatás állatvédelmi hatósági eljárást von maga után; a közterületen felügyelet nélkül hagyás, a kóborlás már szabálysértés. Tartott állatok egyedszáma önkormányzati rendeletben nem korlátozható;</w:t>
      </w:r>
    </w:p>
    <w:p w14:paraId="35B81BBC"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 xml:space="preserve">indokolatlan zaj okozása, mely alkalmas arra, hogy mások nyugalmát megzavarja, a csendháborítás szabálysértését meríti ki; </w:t>
      </w:r>
    </w:p>
    <w:p w14:paraId="730CBBF5"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közterület, közforgalom céljait szolgáló épület, közlekedési eszköz beszennyezése szabálysértés, akkor is, ha állat szennyezi be, pl.: kutyaürülék össze nem szedése köztisztasági szabálysértési eljárást von maga után, ahogy a szemetelés is;</w:t>
      </w:r>
    </w:p>
    <w:p w14:paraId="4A939CD7"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 xml:space="preserve">szeszes ital árusítására vagy közterületen történő fogyasztására vonatkozó – törvényben, kormányrendeletben, vagy önkormányzati rendeletben meghatározott – tilalom megszegése szabálysértési tényállás; </w:t>
      </w:r>
    </w:p>
    <w:p w14:paraId="1BF4C13E"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közterületi koldulás, engedély nélküli árusítás, szabálysértési eljárást von maga után;</w:t>
      </w:r>
    </w:p>
    <w:p w14:paraId="17A638E6"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zöldterületen történő parkolás, behajtási korlátozások megszegése a KRESZ rendelkezéseit sérti, közlekedési szabálysértés miatt az eljárás a rendőrség hatáskörébe tartozik;</w:t>
      </w:r>
    </w:p>
    <w:p w14:paraId="5EE18D12"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hulladékgazdálkodással, környezetvédelemmel kapcsolatos szabályok megszegése hulladékgazdálkodási, környezetvédelmi hatósági eljárást, vagy szabálysértési-, súlyosabb esetben büntetőeljárást von maga után (</w:t>
      </w:r>
      <w:proofErr w:type="spellStart"/>
      <w:r w:rsidRPr="00033223">
        <w:rPr>
          <w:rFonts w:ascii="Times New Roman" w:hAnsi="Times New Roman" w:cs="Times New Roman"/>
          <w:sz w:val="20"/>
          <w:szCs w:val="20"/>
        </w:rPr>
        <w:t>pl</w:t>
      </w:r>
      <w:proofErr w:type="spellEnd"/>
      <w:r w:rsidRPr="00033223">
        <w:rPr>
          <w:rFonts w:ascii="Times New Roman" w:hAnsi="Times New Roman" w:cs="Times New Roman"/>
          <w:sz w:val="20"/>
          <w:szCs w:val="20"/>
        </w:rPr>
        <w:t>: közterületi hulladékelhelyezés, hulladékgazdálkodással összefüggő szabályok megsértése esetében hulladékgazdálkodási bírság kiszabásának van helye, légszennyezés, vagy levegő lakosságot zavaró bűzzel (füsttel) való terhelése esetében légszennyezési bírságnak, tarló, vagy lábon álló növényzet égetése esetén tűzvédelmi bírság kiszabásának van helye, melyre a járási hivatal rendelkezik hatáskörrel);</w:t>
      </w:r>
    </w:p>
    <w:p w14:paraId="0DEDCA40" w14:textId="77777777" w:rsidR="00033223" w:rsidRPr="00033223" w:rsidRDefault="00033223" w:rsidP="00033223">
      <w:pPr>
        <w:pStyle w:val="Listaszerbekezds"/>
        <w:numPr>
          <w:ilvl w:val="0"/>
          <w:numId w:val="4"/>
        </w:numPr>
        <w:autoSpaceDE w:val="0"/>
        <w:autoSpaceDN w:val="0"/>
        <w:adjustRightInd w:val="0"/>
        <w:spacing w:after="0" w:line="240" w:lineRule="auto"/>
        <w:jc w:val="both"/>
        <w:rPr>
          <w:rFonts w:ascii="Times New Roman" w:hAnsi="Times New Roman" w:cs="Times New Roman"/>
          <w:sz w:val="20"/>
          <w:szCs w:val="20"/>
        </w:rPr>
      </w:pPr>
      <w:r w:rsidRPr="00033223">
        <w:rPr>
          <w:rFonts w:ascii="Times New Roman" w:hAnsi="Times New Roman" w:cs="Times New Roman"/>
          <w:sz w:val="20"/>
          <w:szCs w:val="20"/>
        </w:rPr>
        <w:t xml:space="preserve">az ingatlanok gazmentesítésére, a gyomnövények írtására vonatkozó követelmények szintén magasabb szintű jogszabályokban szerepelnek. Minden földhasználónak, így kiskert tulajdonosnak is gondoskodnia kell a </w:t>
      </w:r>
      <w:r w:rsidRPr="00033223">
        <w:rPr>
          <w:rFonts w:ascii="Times New Roman" w:hAnsi="Times New Roman" w:cs="Times New Roman"/>
          <w:sz w:val="20"/>
          <w:szCs w:val="20"/>
        </w:rPr>
        <w:lastRenderedPageBreak/>
        <w:t>növényi kártevők elleni védekezésről. Növényvédelmi kötelezettség megszegése esetén növényvédelmi bírság kiszabásának van helye, melyre a járási hivatal rendelkezik hatáskörre.</w:t>
      </w:r>
      <w:r w:rsidRPr="00033223">
        <w:rPr>
          <w:rFonts w:ascii="Times New Roman" w:hAnsi="Times New Roman" w:cs="Times New Roman"/>
          <w:sz w:val="20"/>
          <w:szCs w:val="20"/>
        </w:rPr>
        <w:tab/>
      </w:r>
    </w:p>
    <w:p w14:paraId="7674C380" w14:textId="77777777" w:rsidR="00033223" w:rsidRPr="00033223" w:rsidRDefault="00033223" w:rsidP="00033223">
      <w:pPr>
        <w:autoSpaceDE w:val="0"/>
        <w:autoSpaceDN w:val="0"/>
        <w:adjustRightInd w:val="0"/>
        <w:ind w:left="708"/>
        <w:jc w:val="both"/>
        <w:rPr>
          <w:sz w:val="20"/>
          <w:szCs w:val="20"/>
        </w:rPr>
      </w:pPr>
      <w:r w:rsidRPr="00033223">
        <w:rPr>
          <w:sz w:val="20"/>
          <w:szCs w:val="20"/>
        </w:rPr>
        <w:t xml:space="preserve">(A hulladékgazdálkodási, környezetvédelmi, közegészségügyi szabályok nem helyi sajátosságok, nem helyi közügyek, hanem magasabb szintű jogszabályok által már szabályozott tárgykörök, így ezek közösségi együttélés helyi szabályai között nem rendezhetőek.) </w:t>
      </w:r>
    </w:p>
    <w:p w14:paraId="787D05ED" w14:textId="77777777" w:rsidR="00033223" w:rsidRPr="00033223" w:rsidRDefault="00033223" w:rsidP="00033223">
      <w:pPr>
        <w:autoSpaceDE w:val="0"/>
        <w:autoSpaceDN w:val="0"/>
        <w:adjustRightInd w:val="0"/>
        <w:jc w:val="both"/>
        <w:rPr>
          <w:sz w:val="20"/>
          <w:szCs w:val="20"/>
        </w:rPr>
      </w:pPr>
    </w:p>
    <w:p w14:paraId="6F593BD2" w14:textId="77777777" w:rsidR="00033223" w:rsidRPr="00033223" w:rsidRDefault="00033223" w:rsidP="00033223">
      <w:pPr>
        <w:autoSpaceDE w:val="0"/>
        <w:autoSpaceDN w:val="0"/>
        <w:adjustRightInd w:val="0"/>
        <w:jc w:val="both"/>
        <w:rPr>
          <w:rFonts w:eastAsiaTheme="minorHAnsi"/>
          <w:sz w:val="20"/>
          <w:szCs w:val="20"/>
          <w:lang w:eastAsia="en-US"/>
        </w:rPr>
      </w:pPr>
      <w:r w:rsidRPr="00033223">
        <w:rPr>
          <w:sz w:val="20"/>
          <w:szCs w:val="20"/>
        </w:rPr>
        <w:t xml:space="preserve">Tekintettel arra, hogy a helyi jogalkotás kizárólag a közrend, a közbiztonság, a közegészségügy és a kulturális érdekek védelme érdekében történhet, nem szabályozhatóak helyi rendeletben a magáningatlan tisztaságára, rendezettségére vonatkozó előírások sem. Az ingatlanok tisztántartására, higiéniájára vonatkozó rendelkezések nincsenek összefüggésben semmilyen közérdekkel, sértik az </w:t>
      </w:r>
      <w:r w:rsidRPr="00033223">
        <w:rPr>
          <w:i/>
          <w:iCs/>
          <w:sz w:val="20"/>
          <w:szCs w:val="20"/>
        </w:rPr>
        <w:t>Alaptörvény</w:t>
      </w:r>
      <w:r w:rsidRPr="00033223">
        <w:rPr>
          <w:sz w:val="20"/>
          <w:szCs w:val="20"/>
        </w:rPr>
        <w:t xml:space="preserve"> II. cikkében foglalt emberi méltósághoz való jogot, valamint a VI. cikk (1)-(2) bekezdésében foglalt magán- és családi élet tiszteletben tartásához való jogot, továbbá az otthon nyugalmát. Ellentétesek a magánszféra Polgári Törvénykönyv általi szabályozásával, továbbá sz önkormányzati rendeletalkotásra felhatalmazó </w:t>
      </w:r>
      <w:proofErr w:type="spellStart"/>
      <w:r w:rsidRPr="00033223">
        <w:rPr>
          <w:sz w:val="20"/>
          <w:szCs w:val="20"/>
        </w:rPr>
        <w:t>Mötv</w:t>
      </w:r>
      <w:proofErr w:type="spellEnd"/>
      <w:r w:rsidRPr="00033223">
        <w:rPr>
          <w:sz w:val="20"/>
          <w:szCs w:val="20"/>
        </w:rPr>
        <w:t xml:space="preserve">. rendelkezésének céljával is. </w:t>
      </w:r>
    </w:p>
    <w:p w14:paraId="4D58E8B1" w14:textId="77777777" w:rsidR="00033223" w:rsidRPr="00033223" w:rsidRDefault="00033223" w:rsidP="00033223">
      <w:pPr>
        <w:autoSpaceDE w:val="0"/>
        <w:autoSpaceDN w:val="0"/>
        <w:adjustRightInd w:val="0"/>
        <w:jc w:val="both"/>
        <w:rPr>
          <w:rFonts w:eastAsiaTheme="minorHAnsi"/>
          <w:sz w:val="20"/>
          <w:szCs w:val="20"/>
          <w:lang w:eastAsia="en-US"/>
        </w:rPr>
      </w:pPr>
    </w:p>
    <w:p w14:paraId="66E39C73" w14:textId="77777777" w:rsidR="00033223" w:rsidRPr="00033223" w:rsidRDefault="00033223" w:rsidP="00033223">
      <w:pPr>
        <w:autoSpaceDE w:val="0"/>
        <w:autoSpaceDN w:val="0"/>
        <w:adjustRightInd w:val="0"/>
        <w:jc w:val="both"/>
        <w:rPr>
          <w:rFonts w:eastAsiaTheme="minorHAnsi"/>
          <w:sz w:val="20"/>
          <w:szCs w:val="20"/>
          <w:lang w:eastAsia="en-US"/>
        </w:rPr>
      </w:pPr>
      <w:r w:rsidRPr="00033223">
        <w:rPr>
          <w:rFonts w:eastAsiaTheme="minorHAnsi"/>
          <w:sz w:val="20"/>
          <w:szCs w:val="20"/>
          <w:lang w:eastAsia="en-US"/>
        </w:rPr>
        <w:t xml:space="preserve">Fentiek figyelembevételével elkészítésre került egy új, a közösségi együttélés alapvető szabályairól szóló önkormányzati rendelettervezet, mely kizárólag olyan cselekményeket vagy mulasztásokat minősít közösségellenes cselekménynek, melyek alapjogokat nem sértenek, magasabb rendű jogszabályokban nem rendezettek és szabálysértési-, állatvédelmi-, növényvédelmi-, természetvédelmi-, levegővédelmi-, hulladékgazdálkodási eljárás lefolytatásának, bírság kiszabásának nincs helye.  </w:t>
      </w:r>
    </w:p>
    <w:p w14:paraId="5FA6A704" w14:textId="77777777" w:rsidR="00033223" w:rsidRDefault="00033223" w:rsidP="00033223">
      <w:pPr>
        <w:jc w:val="both"/>
        <w:rPr>
          <w:rFonts w:eastAsia="Calibri"/>
          <w:b/>
          <w:sz w:val="20"/>
          <w:szCs w:val="20"/>
          <w:u w:val="single"/>
        </w:rPr>
      </w:pPr>
    </w:p>
    <w:p w14:paraId="0E0341E5" w14:textId="05566D2A" w:rsidR="0060366A" w:rsidRPr="009A4890" w:rsidRDefault="0060366A" w:rsidP="00033223">
      <w:pPr>
        <w:spacing w:after="120"/>
        <w:jc w:val="both"/>
        <w:rPr>
          <w:rFonts w:eastAsia="Calibri"/>
          <w:b/>
          <w:sz w:val="20"/>
          <w:szCs w:val="20"/>
          <w:u w:val="single"/>
        </w:rPr>
      </w:pPr>
      <w:r w:rsidRPr="009A4890">
        <w:rPr>
          <w:rFonts w:eastAsia="Calibri"/>
          <w:b/>
          <w:sz w:val="20"/>
          <w:szCs w:val="20"/>
          <w:u w:val="single"/>
        </w:rPr>
        <w:t>A rendelet módosítás tervezetét társadalmi egyeztetésre kell bocsátani.</w:t>
      </w:r>
    </w:p>
    <w:p w14:paraId="77B51E93" w14:textId="77777777" w:rsidR="0008348D" w:rsidRPr="0060366A" w:rsidRDefault="0008348D" w:rsidP="00033223">
      <w:pPr>
        <w:spacing w:after="120"/>
        <w:jc w:val="both"/>
        <w:rPr>
          <w:rFonts w:eastAsia="Calibri"/>
          <w:b/>
          <w:sz w:val="20"/>
          <w:szCs w:val="20"/>
        </w:rPr>
      </w:pPr>
      <w:r w:rsidRPr="0060366A">
        <w:rPr>
          <w:rFonts w:eastAsia="Calibri"/>
          <w:sz w:val="20"/>
          <w:szCs w:val="20"/>
          <w:lang w:eastAsia="en-US"/>
        </w:rPr>
        <w:t xml:space="preserve">Tájékoztatjuk Önöket, hogy a társadalmi egyeztetésre bocsátott rendelettervezetről a </w:t>
      </w:r>
      <w:r w:rsidRPr="0060366A">
        <w:rPr>
          <w:rFonts w:eastAsia="Calibri"/>
          <w:b/>
          <w:sz w:val="20"/>
          <w:szCs w:val="20"/>
          <w:lang w:eastAsia="en-US"/>
        </w:rPr>
        <w:t xml:space="preserve">Gyálon állandó lakóhellyel, vagy tartózkodási hellyel rendelkező lakosok és a Gyálon működő szervezetek a </w:t>
      </w:r>
      <w:hyperlink r:id="rId7" w:history="1">
        <w:r w:rsidRPr="0060366A">
          <w:rPr>
            <w:rStyle w:val="Hiperhivatkozs"/>
            <w:rFonts w:eastAsia="Calibri"/>
            <w:b/>
            <w:color w:val="0000FF"/>
            <w:sz w:val="20"/>
            <w:szCs w:val="20"/>
            <w:lang w:eastAsia="en-US"/>
          </w:rPr>
          <w:t>gyalph@gyal.hu</w:t>
        </w:r>
      </w:hyperlink>
      <w:r w:rsidRPr="0060366A">
        <w:rPr>
          <w:rFonts w:eastAsia="Calibri"/>
          <w:b/>
          <w:sz w:val="20"/>
          <w:szCs w:val="20"/>
          <w:lang w:eastAsia="en-US"/>
        </w:rPr>
        <w:t xml:space="preserve"> elektronikus levélcímen keresztül nyilváníthatnak véleményt. </w:t>
      </w:r>
    </w:p>
    <w:p w14:paraId="7A62D8EC" w14:textId="5B96604C" w:rsidR="0008348D" w:rsidRPr="0060366A" w:rsidRDefault="0008348D" w:rsidP="00033223">
      <w:pPr>
        <w:spacing w:after="120"/>
        <w:jc w:val="both"/>
        <w:rPr>
          <w:rFonts w:eastAsia="Calibri"/>
          <w:sz w:val="20"/>
          <w:szCs w:val="20"/>
          <w:lang w:eastAsia="en-US"/>
        </w:rPr>
      </w:pPr>
      <w:r w:rsidRPr="0060366A">
        <w:rPr>
          <w:rFonts w:eastAsia="Calibri"/>
          <w:sz w:val="20"/>
          <w:szCs w:val="20"/>
          <w:lang w:eastAsia="en-US"/>
        </w:rPr>
        <w:t xml:space="preserve">Az SZMSZ 41.§ (3) bekezdése alapján a névtelenül beérkezett véleményeket azok figyelembevétele nélkül törölni kell. </w:t>
      </w:r>
      <w:r w:rsidRPr="0060366A">
        <w:rPr>
          <w:rFonts w:eastAsia="Calibri"/>
          <w:b/>
          <w:sz w:val="20"/>
          <w:szCs w:val="20"/>
          <w:lang w:eastAsia="en-US"/>
        </w:rPr>
        <w:t>Nem vehető figyelembe</w:t>
      </w:r>
      <w:r w:rsidRPr="0060366A">
        <w:rPr>
          <w:rFonts w:eastAsia="Calibri"/>
          <w:sz w:val="20"/>
          <w:szCs w:val="20"/>
          <w:lang w:eastAsia="en-US"/>
        </w:rPr>
        <w:t xml:space="preserve"> továbbá az a vélemény, amely elkésett, sérti a közerkölcsöt vagy a rendelettervezet tárgyához nem illeszkedik.</w:t>
      </w:r>
    </w:p>
    <w:p w14:paraId="3D28C8C0" w14:textId="77777777" w:rsidR="0008348D" w:rsidRPr="0060366A" w:rsidRDefault="0008348D" w:rsidP="00033223">
      <w:pPr>
        <w:spacing w:after="120"/>
        <w:jc w:val="both"/>
        <w:rPr>
          <w:rFonts w:eastAsia="Calibri"/>
          <w:sz w:val="20"/>
          <w:szCs w:val="20"/>
          <w:lang w:eastAsia="en-US"/>
        </w:rPr>
      </w:pPr>
      <w:r w:rsidRPr="0060366A">
        <w:rPr>
          <w:rFonts w:eastAsia="Calibri"/>
          <w:sz w:val="20"/>
          <w:szCs w:val="20"/>
          <w:lang w:eastAsia="en-US"/>
        </w:rPr>
        <w:t xml:space="preserve">Tájékoztatjuk továbbá Önöket, hogy az Önkormányzatnak egyedi válaszadási kötelezettsége nem áll fenn a beérkezett véleményekkel kapcsolatban. </w:t>
      </w:r>
    </w:p>
    <w:p w14:paraId="60AA40B2" w14:textId="77777777" w:rsidR="0008348D" w:rsidRPr="0060366A" w:rsidRDefault="0008348D" w:rsidP="00033223">
      <w:pPr>
        <w:spacing w:after="120"/>
        <w:jc w:val="both"/>
        <w:rPr>
          <w:rFonts w:eastAsia="Calibri"/>
          <w:b/>
          <w:sz w:val="20"/>
          <w:szCs w:val="20"/>
          <w:lang w:eastAsia="en-US"/>
        </w:rPr>
      </w:pPr>
      <w:r w:rsidRPr="0060366A">
        <w:rPr>
          <w:rFonts w:eastAsia="Calibri"/>
          <w:sz w:val="20"/>
          <w:szCs w:val="20"/>
          <w:lang w:eastAsia="en-US"/>
        </w:rPr>
        <w:t>Az SZMSZ 42.§ (1) bekezdése értelmében „</w:t>
      </w:r>
      <w:r w:rsidRPr="0060366A">
        <w:rPr>
          <w:rFonts w:eastAsia="Calibri"/>
          <w:i/>
          <w:iCs/>
          <w:sz w:val="20"/>
          <w:szCs w:val="20"/>
          <w:lang w:eastAsia="en-US"/>
        </w:rPr>
        <w:t>Az Önkormányzat a beérkezett véleményeket, a véleményező nevét és elektronikus levélcímét a rendelet végrehajtása érdekében kezelheti.”</w:t>
      </w:r>
      <w:r w:rsidRPr="0060366A">
        <w:rPr>
          <w:rFonts w:eastAsia="Calibri"/>
          <w:sz w:val="20"/>
          <w:szCs w:val="20"/>
          <w:lang w:eastAsia="en-US"/>
        </w:rPr>
        <w:t xml:space="preserve"> </w:t>
      </w:r>
      <w:r w:rsidRPr="0060366A">
        <w:rPr>
          <w:rFonts w:eastAsia="Calibri"/>
          <w:b/>
          <w:sz w:val="20"/>
          <w:szCs w:val="20"/>
          <w:lang w:eastAsia="en-US"/>
        </w:rPr>
        <w:t xml:space="preserve">Ezért felhívjuk a véleményezők figyelmét, hogy az adataik kezeléséhez szükséges hozzájárulást azok rendelkezésre bocsátásával az önkormányzat megadottnak tekinti. </w:t>
      </w:r>
    </w:p>
    <w:p w14:paraId="7E80C96C" w14:textId="4332D9F2" w:rsidR="0008348D" w:rsidRPr="0060366A" w:rsidRDefault="0008348D" w:rsidP="00033223">
      <w:pPr>
        <w:spacing w:after="120"/>
        <w:jc w:val="both"/>
        <w:rPr>
          <w:sz w:val="20"/>
          <w:szCs w:val="20"/>
        </w:rPr>
      </w:pPr>
      <w:r w:rsidRPr="0060366A">
        <w:rPr>
          <w:sz w:val="20"/>
          <w:szCs w:val="20"/>
        </w:rPr>
        <w:t>A társadalmi egyeztetés tárgyát képező rendelet tervezet az alábbi útvonalon érhető el:</w:t>
      </w:r>
      <w:r w:rsidRPr="0060366A">
        <w:rPr>
          <w:b/>
          <w:sz w:val="20"/>
          <w:szCs w:val="20"/>
        </w:rPr>
        <w:t xml:space="preserve"> </w:t>
      </w:r>
      <w:hyperlink r:id="rId8" w:history="1">
        <w:r w:rsidR="0092664A" w:rsidRPr="0060366A">
          <w:rPr>
            <w:rStyle w:val="Hiperhivatkozs"/>
            <w:b/>
            <w:sz w:val="20"/>
            <w:szCs w:val="20"/>
          </w:rPr>
          <w:t>http://www.gyal.hu/kozerdeku/hirdetmenyek/</w:t>
        </w:r>
      </w:hyperlink>
      <w:r w:rsidR="0092664A" w:rsidRPr="0060366A">
        <w:rPr>
          <w:b/>
          <w:sz w:val="20"/>
          <w:szCs w:val="20"/>
        </w:rPr>
        <w:t xml:space="preserve"> </w:t>
      </w:r>
    </w:p>
    <w:p w14:paraId="2DBC2F7E" w14:textId="387B2197" w:rsidR="0008348D" w:rsidRPr="0060366A" w:rsidRDefault="0008348D" w:rsidP="00033223">
      <w:pPr>
        <w:spacing w:after="120"/>
        <w:jc w:val="both"/>
        <w:rPr>
          <w:rFonts w:eastAsia="Calibri"/>
          <w:sz w:val="20"/>
          <w:szCs w:val="20"/>
          <w:lang w:eastAsia="en-US"/>
        </w:rPr>
      </w:pPr>
      <w:r w:rsidRPr="0060366A">
        <w:rPr>
          <w:rFonts w:eastAsia="Calibri"/>
          <w:b/>
          <w:sz w:val="20"/>
          <w:szCs w:val="20"/>
          <w:lang w:eastAsia="en-US"/>
        </w:rPr>
        <w:t>A közzététel időpontja</w:t>
      </w:r>
      <w:r w:rsidRPr="0060366A">
        <w:rPr>
          <w:rFonts w:eastAsia="Calibri"/>
          <w:sz w:val="20"/>
          <w:szCs w:val="20"/>
          <w:lang w:eastAsia="en-US"/>
        </w:rPr>
        <w:t xml:space="preserve">: </w:t>
      </w:r>
      <w:r w:rsidR="00033223">
        <w:rPr>
          <w:rFonts w:eastAsia="Calibri"/>
          <w:sz w:val="20"/>
          <w:szCs w:val="20"/>
          <w:lang w:eastAsia="en-US"/>
        </w:rPr>
        <w:t>2023. november 1</w:t>
      </w:r>
      <w:r w:rsidR="00780326">
        <w:rPr>
          <w:rFonts w:eastAsia="Calibri"/>
          <w:sz w:val="20"/>
          <w:szCs w:val="20"/>
          <w:lang w:eastAsia="en-US"/>
        </w:rPr>
        <w:t>6</w:t>
      </w:r>
      <w:r w:rsidR="00085584">
        <w:rPr>
          <w:rFonts w:eastAsia="Calibri"/>
          <w:sz w:val="20"/>
          <w:szCs w:val="20"/>
          <w:lang w:eastAsia="en-US"/>
        </w:rPr>
        <w:t>. (</w:t>
      </w:r>
      <w:r w:rsidR="00780326">
        <w:rPr>
          <w:rFonts w:eastAsia="Calibri"/>
          <w:sz w:val="20"/>
          <w:szCs w:val="20"/>
          <w:lang w:eastAsia="en-US"/>
        </w:rPr>
        <w:t>csütörtök</w:t>
      </w:r>
      <w:r w:rsidR="00085584">
        <w:rPr>
          <w:rFonts w:eastAsia="Calibri"/>
          <w:sz w:val="20"/>
          <w:szCs w:val="20"/>
          <w:lang w:eastAsia="en-US"/>
        </w:rPr>
        <w:t>)</w:t>
      </w:r>
    </w:p>
    <w:p w14:paraId="2776C6F9" w14:textId="5340A4A2" w:rsidR="0008348D" w:rsidRPr="0060366A" w:rsidRDefault="0008348D" w:rsidP="00033223">
      <w:pPr>
        <w:spacing w:after="120"/>
        <w:jc w:val="both"/>
        <w:rPr>
          <w:rFonts w:eastAsia="Calibri"/>
          <w:sz w:val="20"/>
          <w:szCs w:val="20"/>
          <w:lang w:eastAsia="en-US"/>
        </w:rPr>
      </w:pPr>
      <w:r w:rsidRPr="0060366A">
        <w:rPr>
          <w:rFonts w:eastAsia="Calibri"/>
          <w:b/>
          <w:sz w:val="20"/>
          <w:szCs w:val="20"/>
          <w:lang w:eastAsia="en-US"/>
        </w:rPr>
        <w:t>A véleménynyilvánításra nyitva álló lehetőség</w:t>
      </w:r>
      <w:r w:rsidRPr="0060366A">
        <w:rPr>
          <w:rFonts w:eastAsia="Calibri"/>
          <w:sz w:val="20"/>
          <w:szCs w:val="20"/>
          <w:lang w:eastAsia="en-US"/>
        </w:rPr>
        <w:t>: 20</w:t>
      </w:r>
      <w:r w:rsidR="0060366A" w:rsidRPr="0060366A">
        <w:rPr>
          <w:rFonts w:eastAsia="Calibri"/>
          <w:sz w:val="20"/>
          <w:szCs w:val="20"/>
          <w:lang w:eastAsia="en-US"/>
        </w:rPr>
        <w:t>2</w:t>
      </w:r>
      <w:r w:rsidR="00085584">
        <w:rPr>
          <w:rFonts w:eastAsia="Calibri"/>
          <w:sz w:val="20"/>
          <w:szCs w:val="20"/>
          <w:lang w:eastAsia="en-US"/>
        </w:rPr>
        <w:t xml:space="preserve">3. </w:t>
      </w:r>
      <w:r w:rsidR="00033223">
        <w:rPr>
          <w:rFonts w:eastAsia="Calibri"/>
          <w:sz w:val="20"/>
          <w:szCs w:val="20"/>
          <w:lang w:eastAsia="en-US"/>
        </w:rPr>
        <w:t>november 20</w:t>
      </w:r>
      <w:r w:rsidR="00085584">
        <w:rPr>
          <w:rFonts w:eastAsia="Calibri"/>
          <w:sz w:val="20"/>
          <w:szCs w:val="20"/>
          <w:lang w:eastAsia="en-US"/>
        </w:rPr>
        <w:t>. (hétfő) 16 óra</w:t>
      </w:r>
    </w:p>
    <w:p w14:paraId="12BBFBE7" w14:textId="77777777" w:rsidR="0008348D" w:rsidRPr="0060366A" w:rsidRDefault="0008348D" w:rsidP="00033223">
      <w:pPr>
        <w:spacing w:after="120"/>
        <w:jc w:val="both"/>
        <w:rPr>
          <w:rFonts w:eastAsia="Calibri"/>
          <w:sz w:val="20"/>
          <w:szCs w:val="20"/>
          <w:lang w:eastAsia="en-US"/>
        </w:rPr>
      </w:pPr>
      <w:r w:rsidRPr="0060366A">
        <w:rPr>
          <w:rFonts w:eastAsia="Calibri"/>
          <w:sz w:val="20"/>
          <w:szCs w:val="20"/>
          <w:lang w:eastAsia="en-US"/>
        </w:rPr>
        <w:t xml:space="preserve">Várjuk a rendelettervezettel kapcsolatos véleményüket. </w:t>
      </w:r>
    </w:p>
    <w:p w14:paraId="50BB7E4C" w14:textId="479AB277" w:rsidR="0008348D" w:rsidRPr="0060366A" w:rsidRDefault="0008348D" w:rsidP="00033223">
      <w:pPr>
        <w:spacing w:after="120"/>
        <w:jc w:val="both"/>
        <w:rPr>
          <w:rFonts w:eastAsia="Calibri"/>
          <w:b/>
          <w:sz w:val="20"/>
          <w:szCs w:val="20"/>
          <w:lang w:eastAsia="en-US"/>
        </w:rPr>
      </w:pPr>
      <w:r w:rsidRPr="0060366A">
        <w:rPr>
          <w:rFonts w:eastAsia="Calibri"/>
          <w:b/>
          <w:sz w:val="20"/>
          <w:szCs w:val="20"/>
          <w:lang w:eastAsia="en-US"/>
        </w:rPr>
        <w:t xml:space="preserve">Gyál, </w:t>
      </w:r>
      <w:r w:rsidR="00033223">
        <w:rPr>
          <w:rFonts w:eastAsia="Calibri"/>
          <w:b/>
          <w:sz w:val="20"/>
          <w:szCs w:val="20"/>
          <w:lang w:eastAsia="en-US"/>
        </w:rPr>
        <w:t>2023. november 15.</w:t>
      </w:r>
    </w:p>
    <w:p w14:paraId="43E8F7FC" w14:textId="77777777" w:rsidR="0008348D" w:rsidRPr="0060366A" w:rsidRDefault="0008348D" w:rsidP="00033223">
      <w:pPr>
        <w:spacing w:after="120"/>
        <w:ind w:left="2124" w:firstLine="708"/>
        <w:jc w:val="both"/>
        <w:rPr>
          <w:rFonts w:eastAsia="Calibri"/>
          <w:b/>
          <w:sz w:val="20"/>
          <w:szCs w:val="20"/>
          <w:lang w:eastAsia="en-US"/>
        </w:rPr>
      </w:pPr>
      <w:r w:rsidRPr="0060366A">
        <w:rPr>
          <w:rFonts w:eastAsia="Calibri"/>
          <w:b/>
          <w:sz w:val="20"/>
          <w:szCs w:val="20"/>
          <w:lang w:eastAsia="en-US"/>
        </w:rPr>
        <w:t>Tisztelettel:</w:t>
      </w:r>
    </w:p>
    <w:p w14:paraId="5B7E583C" w14:textId="77777777" w:rsidR="0008348D" w:rsidRPr="0060366A" w:rsidRDefault="0008348D" w:rsidP="00033223">
      <w:pPr>
        <w:jc w:val="both"/>
        <w:rPr>
          <w:rFonts w:eastAsia="Calibri"/>
          <w:b/>
          <w:sz w:val="20"/>
          <w:szCs w:val="20"/>
          <w:lang w:eastAsia="en-US"/>
        </w:rPr>
      </w:pPr>
    </w:p>
    <w:p w14:paraId="190BDFE6" w14:textId="77777777" w:rsidR="0008348D" w:rsidRPr="0060366A" w:rsidRDefault="0008348D" w:rsidP="00033223">
      <w:pPr>
        <w:jc w:val="both"/>
        <w:rPr>
          <w:rFonts w:eastAsia="Calibri"/>
          <w:b/>
          <w:sz w:val="20"/>
          <w:szCs w:val="20"/>
          <w:lang w:eastAsia="en-US"/>
        </w:rPr>
      </w:pPr>
    </w:p>
    <w:p w14:paraId="779935D2" w14:textId="77777777" w:rsidR="0008348D" w:rsidRPr="0060366A" w:rsidRDefault="0008348D" w:rsidP="00033223">
      <w:pPr>
        <w:jc w:val="both"/>
        <w:rPr>
          <w:rFonts w:eastAsia="Calibri"/>
          <w:b/>
          <w:sz w:val="20"/>
          <w:szCs w:val="20"/>
          <w:lang w:eastAsia="en-US"/>
        </w:rPr>
      </w:pPr>
    </w:p>
    <w:p w14:paraId="4BB2AD21" w14:textId="77777777" w:rsidR="0008348D" w:rsidRPr="0060366A" w:rsidRDefault="0008348D" w:rsidP="00033223">
      <w:pPr>
        <w:jc w:val="both"/>
        <w:rPr>
          <w:rFonts w:eastAsia="Calibri"/>
          <w:b/>
          <w:sz w:val="20"/>
          <w:szCs w:val="20"/>
          <w:lang w:eastAsia="en-US"/>
        </w:rPr>
      </w:pP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t>Pápai Mihály</w:t>
      </w:r>
    </w:p>
    <w:p w14:paraId="20A89DF0" w14:textId="77777777" w:rsidR="0008348D" w:rsidRPr="0060366A" w:rsidRDefault="0008348D" w:rsidP="00033223">
      <w:pPr>
        <w:jc w:val="both"/>
        <w:rPr>
          <w:rFonts w:eastAsia="Calibri"/>
          <w:b/>
          <w:sz w:val="20"/>
          <w:szCs w:val="20"/>
          <w:lang w:eastAsia="en-US"/>
        </w:rPr>
      </w:pP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r>
      <w:r w:rsidRPr="0060366A">
        <w:rPr>
          <w:rFonts w:eastAsia="Calibri"/>
          <w:b/>
          <w:sz w:val="20"/>
          <w:szCs w:val="20"/>
          <w:lang w:eastAsia="en-US"/>
        </w:rPr>
        <w:tab/>
        <w:t>polgármester</w:t>
      </w:r>
    </w:p>
    <w:p w14:paraId="5E1AD7BB" w14:textId="53074092" w:rsidR="0008348D" w:rsidRPr="0060366A" w:rsidRDefault="0008348D" w:rsidP="00033223">
      <w:pPr>
        <w:rPr>
          <w:sz w:val="20"/>
          <w:szCs w:val="20"/>
        </w:rPr>
      </w:pPr>
    </w:p>
    <w:p w14:paraId="58451327" w14:textId="6CFCB182" w:rsidR="00BB663E" w:rsidRPr="0060366A" w:rsidRDefault="00BB663E">
      <w:pPr>
        <w:rPr>
          <w:sz w:val="20"/>
          <w:szCs w:val="20"/>
        </w:rPr>
      </w:pPr>
    </w:p>
    <w:p w14:paraId="6E71DF12" w14:textId="77777777" w:rsidR="00BB663E" w:rsidRDefault="00BB663E" w:rsidP="0060366A">
      <w:pPr>
        <w:suppressAutoHyphens/>
        <w:spacing w:line="288" w:lineRule="auto"/>
        <w:rPr>
          <w:rFonts w:eastAsia="Noto Sans CJK SC Regular"/>
          <w:kern w:val="2"/>
          <w:sz w:val="20"/>
          <w:szCs w:val="20"/>
          <w:lang w:eastAsia="zh-CN" w:bidi="hi-IN"/>
        </w:rPr>
      </w:pPr>
    </w:p>
    <w:p w14:paraId="30421C33" w14:textId="77777777" w:rsidR="00085584" w:rsidRDefault="00085584" w:rsidP="0060366A">
      <w:pPr>
        <w:suppressAutoHyphens/>
        <w:spacing w:line="288" w:lineRule="auto"/>
        <w:rPr>
          <w:rFonts w:eastAsia="Noto Sans CJK SC Regular"/>
          <w:kern w:val="2"/>
          <w:sz w:val="20"/>
          <w:szCs w:val="20"/>
          <w:lang w:eastAsia="zh-CN" w:bidi="hi-IN"/>
        </w:rPr>
      </w:pPr>
    </w:p>
    <w:p w14:paraId="11F753C8" w14:textId="77777777" w:rsidR="00085584" w:rsidRDefault="00085584" w:rsidP="0060366A">
      <w:pPr>
        <w:suppressAutoHyphens/>
        <w:spacing w:line="288" w:lineRule="auto"/>
        <w:rPr>
          <w:rFonts w:eastAsia="Noto Sans CJK SC Regular"/>
          <w:kern w:val="2"/>
          <w:sz w:val="20"/>
          <w:szCs w:val="20"/>
          <w:lang w:eastAsia="zh-CN" w:bidi="hi-IN"/>
        </w:rPr>
      </w:pPr>
    </w:p>
    <w:p w14:paraId="7112BFB1" w14:textId="77777777" w:rsidR="00085584" w:rsidRDefault="00085584" w:rsidP="0060366A">
      <w:pPr>
        <w:suppressAutoHyphens/>
        <w:spacing w:line="288" w:lineRule="auto"/>
        <w:rPr>
          <w:rFonts w:eastAsia="Noto Sans CJK SC Regular"/>
          <w:kern w:val="2"/>
          <w:sz w:val="20"/>
          <w:szCs w:val="20"/>
          <w:lang w:eastAsia="zh-CN" w:bidi="hi-IN"/>
        </w:rPr>
      </w:pPr>
    </w:p>
    <w:p w14:paraId="197E0087" w14:textId="40951B73" w:rsidR="00085584" w:rsidRPr="0060366A" w:rsidRDefault="00085584" w:rsidP="004A173C">
      <w:pPr>
        <w:spacing w:after="160" w:line="259" w:lineRule="auto"/>
        <w:rPr>
          <w:rFonts w:eastAsia="Noto Sans CJK SC Regular"/>
          <w:kern w:val="2"/>
          <w:sz w:val="20"/>
          <w:szCs w:val="20"/>
          <w:lang w:eastAsia="zh-CN" w:bidi="hi-IN"/>
        </w:rPr>
      </w:pPr>
    </w:p>
    <w:sectPr w:rsidR="00085584" w:rsidRPr="0060366A" w:rsidSect="00033223">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058CE" w14:textId="77777777" w:rsidR="00D27E64" w:rsidRDefault="009A4890">
      <w:r>
        <w:separator/>
      </w:r>
    </w:p>
  </w:endnote>
  <w:endnote w:type="continuationSeparator" w:id="0">
    <w:p w14:paraId="7EA25473" w14:textId="77777777" w:rsidR="00D27E64" w:rsidRDefault="009A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7F6" w14:textId="77777777" w:rsidR="00033223" w:rsidRDefault="00BB663E">
    <w:pPr>
      <w:pStyle w:val="llb"/>
      <w:jc w:val="center"/>
    </w:pPr>
    <w:r>
      <w:fldChar w:fldCharType="begin"/>
    </w:r>
    <w:r>
      <w:instrText>PAGE</w:instrText>
    </w:r>
    <w:r>
      <w:fldChar w:fldCharType="separate"/>
    </w:r>
    <w:r w:rsidR="009A489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30917" w14:textId="77777777" w:rsidR="00D27E64" w:rsidRDefault="009A4890">
      <w:r>
        <w:separator/>
      </w:r>
    </w:p>
  </w:footnote>
  <w:footnote w:type="continuationSeparator" w:id="0">
    <w:p w14:paraId="656109F6" w14:textId="77777777" w:rsidR="00D27E64" w:rsidRDefault="009A4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4379F"/>
    <w:multiLevelType w:val="hybridMultilevel"/>
    <w:tmpl w:val="F48C208A"/>
    <w:lvl w:ilvl="0" w:tplc="040E000F">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B4047D0"/>
    <w:multiLevelType w:val="multilevel"/>
    <w:tmpl w:val="67C2D8A8"/>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abstractNum w:abstractNumId="2" w15:restartNumberingAfterBreak="0">
    <w:nsid w:val="668B2737"/>
    <w:multiLevelType w:val="hybridMultilevel"/>
    <w:tmpl w:val="951018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9036064"/>
    <w:multiLevelType w:val="hybridMultilevel"/>
    <w:tmpl w:val="CFA46DB8"/>
    <w:lvl w:ilvl="0" w:tplc="042C6122">
      <w:start w:val="202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84608396">
    <w:abstractNumId w:val="2"/>
  </w:num>
  <w:num w:numId="2" w16cid:durableId="2135363012">
    <w:abstractNumId w:val="0"/>
  </w:num>
  <w:num w:numId="3" w16cid:durableId="1404374242">
    <w:abstractNumId w:val="1"/>
  </w:num>
  <w:num w:numId="4" w16cid:durableId="5725903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8D"/>
    <w:rsid w:val="00033223"/>
    <w:rsid w:val="00051D8B"/>
    <w:rsid w:val="0008348D"/>
    <w:rsid w:val="00085584"/>
    <w:rsid w:val="00106F38"/>
    <w:rsid w:val="004A173C"/>
    <w:rsid w:val="0054454C"/>
    <w:rsid w:val="005E0357"/>
    <w:rsid w:val="005E5616"/>
    <w:rsid w:val="0060366A"/>
    <w:rsid w:val="00780326"/>
    <w:rsid w:val="0092664A"/>
    <w:rsid w:val="009A4890"/>
    <w:rsid w:val="00A97721"/>
    <w:rsid w:val="00AD2EF4"/>
    <w:rsid w:val="00B30FB8"/>
    <w:rsid w:val="00BB663E"/>
    <w:rsid w:val="00BD4684"/>
    <w:rsid w:val="00D27E64"/>
    <w:rsid w:val="00D32C5C"/>
    <w:rsid w:val="00F72A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6DAA"/>
  <w15:docId w15:val="{ED3CBD24-CEE9-4C38-AE3A-9266DC56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8348D"/>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8348D"/>
    <w:rPr>
      <w:color w:val="0563C1" w:themeColor="hyperlink"/>
      <w:u w:val="single"/>
    </w:rPr>
  </w:style>
  <w:style w:type="character" w:customStyle="1" w:styleId="Feloldatlanmegemlts1">
    <w:name w:val="Feloldatlan megemlítés1"/>
    <w:basedOn w:val="Bekezdsalapbettpusa"/>
    <w:uiPriority w:val="99"/>
    <w:semiHidden/>
    <w:unhideWhenUsed/>
    <w:rsid w:val="0092664A"/>
    <w:rPr>
      <w:color w:val="605E5C"/>
      <w:shd w:val="clear" w:color="auto" w:fill="E1DFDD"/>
    </w:rPr>
  </w:style>
  <w:style w:type="paragraph" w:styleId="Listaszerbekezds">
    <w:name w:val="List Paragraph"/>
    <w:basedOn w:val="Norml"/>
    <w:uiPriority w:val="34"/>
    <w:qFormat/>
    <w:rsid w:val="00A97721"/>
    <w:pPr>
      <w:spacing w:after="200" w:line="276" w:lineRule="auto"/>
      <w:ind w:left="720"/>
      <w:contextualSpacing/>
    </w:pPr>
    <w:rPr>
      <w:rFonts w:asciiTheme="minorHAnsi" w:eastAsiaTheme="minorHAnsi" w:hAnsiTheme="minorHAnsi" w:cstheme="minorBidi"/>
      <w:sz w:val="22"/>
      <w:szCs w:val="22"/>
      <w:lang w:eastAsia="en-US"/>
    </w:rPr>
  </w:style>
  <w:style w:type="paragraph" w:styleId="llb">
    <w:name w:val="footer"/>
    <w:basedOn w:val="Norml"/>
    <w:link w:val="llbChar"/>
    <w:unhideWhenUsed/>
    <w:rsid w:val="00BB663E"/>
    <w:pPr>
      <w:tabs>
        <w:tab w:val="center" w:pos="4536"/>
        <w:tab w:val="right" w:pos="9072"/>
      </w:tabs>
    </w:pPr>
  </w:style>
  <w:style w:type="character" w:customStyle="1" w:styleId="llbChar">
    <w:name w:val="Élőláb Char"/>
    <w:basedOn w:val="Bekezdsalapbettpusa"/>
    <w:link w:val="llb"/>
    <w:uiPriority w:val="99"/>
    <w:semiHidden/>
    <w:rsid w:val="00BB663E"/>
    <w:rPr>
      <w:rFonts w:ascii="Times New Roman" w:eastAsia="Times New Roman" w:hAnsi="Times New Roman" w:cs="Times New Roman"/>
      <w:sz w:val="24"/>
      <w:szCs w:val="24"/>
      <w:lang w:eastAsia="hu-HU"/>
    </w:rPr>
  </w:style>
  <w:style w:type="paragraph" w:styleId="Szvegtrzs">
    <w:name w:val="Body Text"/>
    <w:basedOn w:val="Norml"/>
    <w:link w:val="SzvegtrzsChar"/>
    <w:rsid w:val="0060366A"/>
    <w:pPr>
      <w:suppressAutoHyphens/>
      <w:spacing w:after="140" w:line="288" w:lineRule="auto"/>
    </w:pPr>
    <w:rPr>
      <w:rFonts w:eastAsia="Noto Sans CJK SC Regular" w:cs="FreeSans"/>
      <w:kern w:val="2"/>
      <w:lang w:eastAsia="zh-CN" w:bidi="hi-IN"/>
    </w:rPr>
  </w:style>
  <w:style w:type="character" w:customStyle="1" w:styleId="SzvegtrzsChar">
    <w:name w:val="Szövegtörzs Char"/>
    <w:basedOn w:val="Bekezdsalapbettpusa"/>
    <w:link w:val="Szvegtrzs"/>
    <w:rsid w:val="0060366A"/>
    <w:rPr>
      <w:rFonts w:ascii="Times New Roman" w:eastAsia="Noto Sans CJK SC Regular" w:hAnsi="Times New Roman" w:cs="Free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44973">
      <w:bodyDiv w:val="1"/>
      <w:marLeft w:val="0"/>
      <w:marRight w:val="0"/>
      <w:marTop w:val="0"/>
      <w:marBottom w:val="0"/>
      <w:divBdr>
        <w:top w:val="none" w:sz="0" w:space="0" w:color="auto"/>
        <w:left w:val="none" w:sz="0" w:space="0" w:color="auto"/>
        <w:bottom w:val="none" w:sz="0" w:space="0" w:color="auto"/>
        <w:right w:val="none" w:sz="0" w:space="0" w:color="auto"/>
      </w:divBdr>
    </w:div>
    <w:div w:id="13275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al.hu/kozerdeku/hirdetmenyek/" TargetMode="External"/><Relationship Id="rId3" Type="http://schemas.openxmlformats.org/officeDocument/2006/relationships/settings" Target="settings.xml"/><Relationship Id="rId7" Type="http://schemas.openxmlformats.org/officeDocument/2006/relationships/hyperlink" Target="mailto:gyalph@gyal.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1061</Words>
  <Characters>7327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 Krisztina</dc:creator>
  <cp:lastModifiedBy>Rozgonyi Erik</cp:lastModifiedBy>
  <cp:revision>3</cp:revision>
  <dcterms:created xsi:type="dcterms:W3CDTF">2023-11-15T12:41:00Z</dcterms:created>
  <dcterms:modified xsi:type="dcterms:W3CDTF">2023-11-15T12:50:00Z</dcterms:modified>
</cp:coreProperties>
</file>